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3D" w:rsidRPr="00DE503D" w:rsidRDefault="00DE503D" w:rsidP="00DE503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>Кедендік</w:t>
      </w:r>
      <w:proofErr w:type="spellEnd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 xml:space="preserve"> </w:t>
      </w:r>
      <w:proofErr w:type="spell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>Құқық</w:t>
      </w:r>
      <w:proofErr w:type="spellEnd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 xml:space="preserve"> </w:t>
      </w:r>
      <w:proofErr w:type="spell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>Субъектілері</w:t>
      </w:r>
      <w:proofErr w:type="spellEnd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 xml:space="preserve"> - </w:t>
      </w:r>
      <w:proofErr w:type="spell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>Бұл</w:t>
      </w:r>
      <w:proofErr w:type="spellEnd"/>
      <w:proofErr w:type="gram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 xml:space="preserve"> Н</w:t>
      </w:r>
      <w:proofErr w:type="gramEnd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 xml:space="preserve">е? </w:t>
      </w:r>
      <w:proofErr w:type="spell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>Тұжырымдама</w:t>
      </w:r>
      <w:proofErr w:type="spellEnd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 xml:space="preserve">, </w:t>
      </w:r>
      <w:proofErr w:type="spellStart"/>
      <w:r w:rsidRPr="00DE503D"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ru-RU"/>
        </w:rPr>
        <w:t>Жіктелуі</w:t>
      </w:r>
      <w:proofErr w:type="spellEnd"/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салдарынан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ібір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концерндер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spellStart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қоғамдастық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шекарадан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мүдделерін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реттейді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әдеттегі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саяхат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саяхат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шекараны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факт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құнына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баждарды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төлемдер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түсімінің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үштен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құрайды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кету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СУБЪЕКТІЛЕРІНІҢ ЖІКТЕЛУІ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аймағында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сипаттамасы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мекемелердің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қызметшілер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4" name="Прямоугольник 14" descr="data:image/svg+xml;charset=utf-8,%3csvg%20height=%22464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data:image/svg+xml;charset=utf-8,%3csvg%20height=%22464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17060"/>
            <wp:effectExtent l="0" t="0" r="0" b="2540"/>
            <wp:docPr id="13" name="Рисунок 13" descr="кедендік құқық субъектіл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едендік құқық субъектілер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тұжырымдамасы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толығымен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мекемелердің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міндеттемелері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арқасында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органдармен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КЕДЕН ОРГАНДАРЫ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мекемелер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құзыреттілікті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салынған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2" name="Прямоугольник 12" descr="data:image/svg+xml;charset=utf-8,%3csvg%20height=%22466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svg+xml;charset=utf-8,%3csvg%20height=%22466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U+OAMAAGQ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45635"/>
            <wp:effectExtent l="0" t="0" r="0" b="0"/>
            <wp:docPr id="11" name="Рисунок 11" descr="халықаралық кедендік құқық субъектілері болып табылаты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алықаралық кедендік құқық субъектілері болып табылаты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ұқсас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ұйымдастырылған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ЖОО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тікелей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бағынысты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</w:t>
      </w:r>
      <w:proofErr w:type="spellEnd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құзыреттерді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3D" w:rsidRPr="00DE503D" w:rsidRDefault="00DE503D" w:rsidP="00DE503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SCC;</w:t>
      </w:r>
    </w:p>
    <w:p w:rsidR="00DE503D" w:rsidRPr="00DE503D" w:rsidRDefault="00DE503D" w:rsidP="00DE503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облыстық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аймақтық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бекеттері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сипатына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ұқсат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контрабанда,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заңсыз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терроризм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Д.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тұруымыз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КЕДЕНДІК ТАСЫМАЛДАУШЫ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тасымалдаушы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қамтиды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аумағында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субъектiсi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көздейді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Кодексте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белгiленген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әлімдеме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алымдарды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төлеуге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экспедитор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КЕДЕНДІ</w:t>
      </w:r>
      <w:proofErr w:type="gramStart"/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К</w:t>
      </w:r>
      <w:proofErr w:type="gramEnd"/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 xml:space="preserve"> БРОКЕР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декларанттың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өкілеттіктері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лғаны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делдал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брокерлері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0" name="Прямоугольник 10" descr="data:image/svg+xml;charset=utf-8,%3csvg%20height=%22465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data:image/svg+xml;charset=utf-8,%3csvg%20height=%22465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L2OAMAAGQ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31030"/>
            <wp:effectExtent l="0" t="0" r="0" b="7620"/>
            <wp:docPr id="9" name="Рисунок 9" descr="халықаралық кедендік құқық субъектіл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алықаралық кедендік құқық субъектілер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келісім-шарт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декларанттардан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брокер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операцияны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Кодекстің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құрайды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алымдарды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төлеуге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құпиясын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заңмен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қорғалатын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құпия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ЖЕКЕ ТҰЛҒАЛАР</w:t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Өздеріңіз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білетіндей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туғаннан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табылатын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8" name="Прямоугольник 8" descr="data:image/svg+xml;charset=utf-8,%3csvg%20height=%22466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data:image/svg+xml;charset=utf-8,%3csvg%20height=%22466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45635"/>
            <wp:effectExtent l="0" t="0" r="0" b="0"/>
            <wp:docPr id="7" name="Рисунок 7" descr="кедендік құқық субъектілерінің тұжырымдам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едендік құқық субъектілерінің тұжырымдамас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өйткені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нақтылау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коммерциялық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ниетті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декларация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оңайлатылған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әсіммен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әзірленетін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делдалдар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мүмкіндіктерін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кеңейту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үрдісі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КЕДЕНДІК РЕСІМДЕУ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мамандануы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ресімдеу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бар:</w:t>
      </w:r>
    </w:p>
    <w:p w:rsidR="00DE503D" w:rsidRPr="00DE503D" w:rsidRDefault="00DE503D" w:rsidP="00DE503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әсіби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әсіби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6" name="Прямоугольник 6" descr="data:image/svg+xml;charset=utf-8,%3csvg%20height=%22465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svg+xml;charset=utf-8,%3csvg%20height=%22465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7EOAMAAGI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31030"/>
            <wp:effectExtent l="0" t="0" r="0" b="7620"/>
            <wp:docPr id="5" name="Рисунок 5" descr="кедендік құқық субъектілері ретінде кеден органд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едендік құқық субъектілері ретінде кеден органда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ресімдеу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мүмкіндіктер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1-ші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қанағаттандыруы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3D" w:rsidRPr="00DE503D" w:rsidRDefault="00DE503D" w:rsidP="00DE503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ресімдеу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ірибесі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бар;</w:t>
      </w:r>
    </w:p>
    <w:p w:rsidR="00DE503D" w:rsidRPr="00DE503D" w:rsidRDefault="00DE503D" w:rsidP="00DE503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емтихандарды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2-сарапшы болу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3D" w:rsidRPr="00DE503D" w:rsidRDefault="00DE503D" w:rsidP="00DE503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бар;</w:t>
      </w:r>
    </w:p>
    <w:p w:rsidR="00DE503D" w:rsidRPr="00DE503D" w:rsidRDefault="00DE503D" w:rsidP="00DE503D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әсіби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ХАЛЫҚАРАЛЫҚ КЕДЕНДІК ҚҰҚ</w:t>
      </w:r>
      <w:proofErr w:type="gramStart"/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Ы</w:t>
      </w:r>
      <w:proofErr w:type="gramEnd"/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Қ СУБЪЕКТІЛЕРІ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айналысатын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міндеттемелерді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иегері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тұжырымдама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құқығына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тұлғаны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4" name="Прямоугольник 4" descr="data:image/svg+xml;charset=utf-8,%3csvg%20height=%22468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svg+xml;charset=utf-8,%3csvg%20height=%22468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59605"/>
            <wp:effectExtent l="0" t="0" r="0" b="0"/>
            <wp:docPr id="3" name="Рисунок 3" descr="кедендік құқық субъектілерінің түрл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едендік құқық субъектілерінің түрлер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тұлғаны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нүктесі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Өкінішке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бүгінгі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шындығына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факт. 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mezhvlastnymi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Ватикан,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бүлікшілер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кезеңдерінде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түсуге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мемлекеттерден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ұйымдардан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ХАЛЫҚАРАЛЫҚ ҰЙЫМДАР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тұлғалардың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ынтымақтастық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Брюссельде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1953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ТМД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кеңесінің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көздейді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3D" w:rsidRPr="00DE503D" w:rsidRDefault="00DE503D" w:rsidP="00DE503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одағының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бірыңғ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саясатты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03D" w:rsidRPr="00DE503D" w:rsidRDefault="00DE503D" w:rsidP="00DE503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қарсылық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монополия;</w:t>
      </w:r>
    </w:p>
    <w:p w:rsidR="00DE503D" w:rsidRPr="00DE503D" w:rsidRDefault="00DE503D" w:rsidP="00DE503D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2" name="Прямоугольник 2" descr="data:image/svg+xml;charset=utf-8,%3csvg%20height=%22469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data:image/svg+xml;charset=utf-8,%3csvg%20height=%22469px%22%20width=%22700px%22%20xmlns=%22http://www.w3.org/2000/svg%22%20version=%221.1%22/%3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S7NwMAAGI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8135" cy="4459605"/>
            <wp:effectExtent l="0" t="0" r="0" b="0"/>
            <wp:docPr id="1" name="Рисунок 1" descr="халықаралық құқық субъектілерінің кеден ұйымдастыру болып табыл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алықаралық құқық субъектілерінің кеден ұйымдастыру болып табылад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3D" w:rsidRPr="00DE503D" w:rsidRDefault="00DE503D" w:rsidP="00DE5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</w:t>
      </w:r>
      <w:proofErr w:type="spellEnd"/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заңдарына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жосықсыз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болдырмау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3D" w:rsidRPr="00DE503D" w:rsidRDefault="00DE503D" w:rsidP="00DE503D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</w:pPr>
      <w:r w:rsidRPr="00DE503D">
        <w:rPr>
          <w:rFonts w:ascii="Arial" w:eastAsia="Times New Roman" w:hAnsi="Arial" w:cs="Arial"/>
          <w:b/>
          <w:bCs/>
          <w:caps/>
          <w:color w:val="000000"/>
          <w:spacing w:val="-5"/>
          <w:sz w:val="36"/>
          <w:szCs w:val="36"/>
          <w:lang w:eastAsia="ru-RU"/>
        </w:rPr>
        <w:t>ҚОРЫТЫНДЫ</w:t>
      </w:r>
    </w:p>
    <w:p w:rsidR="00DE503D" w:rsidRPr="00DE503D" w:rsidRDefault="00DE503D" w:rsidP="00DE503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филиалдарының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актерлер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бір-бі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іс-қимыл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объектілер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реттеуге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субъектілері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туындайтын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қимыл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ауытқуы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бұзушылықтар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болдырмау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құруға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лауазымды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адамдарының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шамасы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елге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әкелінетін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өйткені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іпсіздігін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DE5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AE9" w:rsidRPr="00D1134E" w:rsidRDefault="00D1134E">
      <w:pPr>
        <w:rPr>
          <w:b/>
          <w:sz w:val="24"/>
          <w:szCs w:val="24"/>
          <w:lang w:val="kk-KZ"/>
        </w:rPr>
      </w:pPr>
      <w:r w:rsidRPr="00D1134E">
        <w:rPr>
          <w:b/>
          <w:sz w:val="24"/>
          <w:szCs w:val="24"/>
          <w:lang w:val="kk-KZ"/>
        </w:rPr>
        <w:t>СӨЖ: ҚР Кеден органдарының құра</w:t>
      </w:r>
      <w:bookmarkStart w:id="0" w:name="_GoBack"/>
      <w:bookmarkEnd w:id="0"/>
      <w:r w:rsidRPr="00D1134E">
        <w:rPr>
          <w:b/>
          <w:sz w:val="24"/>
          <w:szCs w:val="24"/>
          <w:lang w:val="kk-KZ"/>
        </w:rPr>
        <w:t xml:space="preserve">мы мақсаттары, реферат, слайд </w:t>
      </w:r>
    </w:p>
    <w:sectPr w:rsidR="00034AE9" w:rsidRPr="00D1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4DD"/>
    <w:multiLevelType w:val="multilevel"/>
    <w:tmpl w:val="5E5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CB0731"/>
    <w:multiLevelType w:val="multilevel"/>
    <w:tmpl w:val="3CD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0C15C4"/>
    <w:multiLevelType w:val="multilevel"/>
    <w:tmpl w:val="6FFA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4039D0"/>
    <w:multiLevelType w:val="multilevel"/>
    <w:tmpl w:val="2D40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F1B07"/>
    <w:multiLevelType w:val="multilevel"/>
    <w:tmpl w:val="1218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7C6335"/>
    <w:multiLevelType w:val="multilevel"/>
    <w:tmpl w:val="7E62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0E2D89"/>
    <w:multiLevelType w:val="multilevel"/>
    <w:tmpl w:val="473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20"/>
    <w:rsid w:val="00034AE9"/>
    <w:rsid w:val="004922ED"/>
    <w:rsid w:val="005C1820"/>
    <w:rsid w:val="00D1134E"/>
    <w:rsid w:val="00D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3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9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9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6</cp:revision>
  <dcterms:created xsi:type="dcterms:W3CDTF">2021-11-02T13:25:00Z</dcterms:created>
  <dcterms:modified xsi:type="dcterms:W3CDTF">2021-11-02T13:29:00Z</dcterms:modified>
</cp:coreProperties>
</file>